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40" w:tblpY="12"/>
        <w:tblOverlap w:val="never"/>
        <w:tblW w:w="97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559"/>
        <w:gridCol w:w="850"/>
        <w:gridCol w:w="5573"/>
        <w:gridCol w:w="11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3" w:firstLineChars="19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评分细则表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（评分项及评分规则）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权重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一、价格部分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5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评审标准：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综合评分法中的价格分统一采用低价优先法计算,即满足招标文件要求且投标价格最低的投标报价为评标基准价,其价格分为满分。其他投标人的价格分统一按照下列公式计算：投标报价得分=(评标基准价/投标报价)×权重。</w:t>
            </w:r>
          </w:p>
          <w:p>
            <w:pPr>
              <w:jc w:val="left"/>
              <w:rPr>
                <w:rFonts w:ascii="宋体" w:hAnsi="宋体" w:cs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2.投标报价低于预算金额90%的，投标人应当就该报价的合理性作出说明，无法作出说明，得0分。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评分方式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按公式计算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二、商务部分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内容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权重</w:t>
            </w:r>
          </w:p>
        </w:tc>
        <w:tc>
          <w:tcPr>
            <w:tcW w:w="55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评分规则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评分方式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有效业绩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573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1.评审标准：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投标人近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2018年</w:t>
            </w: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月1日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至本项目招标公告发布之日）参与过：大型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政府活动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、策划、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执行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案例的，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省级及以上的</w:t>
            </w: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得</w:t>
            </w: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市区级案例得</w:t>
            </w: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分；</w:t>
            </w: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没有案例的得1分。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证明文件：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投标人必须提供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以上内容的佐证材料，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加盖投标人公章，原件备查。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不提供不得分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评审组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zh-C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服务网点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573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1.评审标准：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投标人为深圳企业或非深圳企业，但在深圳市有合法注册的分公司或办事处等机构的，得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  <w:p>
            <w:pPr>
              <w:pStyle w:val="5"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2.证明文件：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须在投标文件中就设立的机构类型进行说明，并提供机构营业执照扫描件加盖投标人公章，原件备查，未提供不得分。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评审组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三、技术部分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内容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权重</w:t>
            </w:r>
          </w:p>
        </w:tc>
        <w:tc>
          <w:tcPr>
            <w:tcW w:w="55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评分规则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评分方式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大赛活动</w:t>
            </w:r>
            <w:r>
              <w:rPr>
                <w:rFonts w:hint="eastAsia" w:ascii="宋体" w:hAnsi="宋体" w:cs="宋体"/>
                <w:szCs w:val="21"/>
              </w:rPr>
              <w:t>策划创意及总体方案撰写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及执行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评审内容：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总体方案完整，方案有创意，主题鲜明、切合</w:t>
            </w: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党建杯大赛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等进行评审。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评委根据供应商情况横向比较：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第一名得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分；第二名得</w:t>
            </w: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分；第三名得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分；第四名及以后（如有）得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分；未提供的不得分。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评审组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szCs w:val="21"/>
              </w:rPr>
              <w:t>大赛活动整体视觉效果包装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55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评审内容：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0"/>
                <w:szCs w:val="20"/>
              </w:rPr>
              <w:t>以舞台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舞美效果，活动视频包装，舞台大屏幕视频素材，宣传海报平面设计的实施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方案为评审内容。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评委根据供应商情况横向比较：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第一名得5分；第二名得3分；第三名得2分；第四名及以后（如有）得1分；未提供的不得分。</w:t>
            </w:r>
          </w:p>
        </w:tc>
        <w:tc>
          <w:tcPr>
            <w:tcW w:w="111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评审组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szCs w:val="21"/>
                <w:lang w:eastAsia="zh-CN"/>
              </w:rPr>
              <w:t>技术人员保障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szCs w:val="21"/>
                <w:lang w:eastAsia="zh-CN"/>
              </w:rPr>
              <w:t>20</w:t>
            </w:r>
          </w:p>
        </w:tc>
        <w:tc>
          <w:tcPr>
            <w:tcW w:w="557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评审内容：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1.项目执行团队总人数，2.人员资历，3.执行团队分工安排方案。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评委根据供应商情况横向比较：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项目执行团队总人数要求至少15人，项目执行团队成员需参加执行过大型活动，达到要求得10分，未达到要求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不得分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如项目执行团队成员中有中级职称及以上职称，“曾获得省级专题奖项证书，持有Premiere及Photoshop产品专家认证，”达到要求得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分，未达到要求不得分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活动主持人需广电系统主播级，达到要求得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分，未达到要求不得分。</w:t>
            </w:r>
          </w:p>
        </w:tc>
        <w:tc>
          <w:tcPr>
            <w:tcW w:w="111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评审组打分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5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大赛活动应急预案措施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评审内容：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活动安全举行方案，遇特发情况的应急方案。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评委根据供应商情况横向比较：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第一名得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分；第二名得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分；第三名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及以后（如有）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得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分；未提供的不得分。</w:t>
            </w:r>
          </w:p>
        </w:tc>
        <w:tc>
          <w:tcPr>
            <w:tcW w:w="111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评审组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打分</w:t>
            </w:r>
          </w:p>
        </w:tc>
      </w:tr>
    </w:tbl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注：1. 每一项的得分均不能超过该项最高分值。</w:t>
      </w:r>
    </w:p>
    <w:p>
      <w:pPr>
        <w:ind w:firstLine="821" w:firstLineChars="391"/>
        <w:rPr>
          <w:rFonts w:ascii="宋体" w:hAnsi="宋体"/>
        </w:rPr>
      </w:pPr>
      <w:r>
        <w:rPr>
          <w:rFonts w:hint="eastAsia" w:ascii="宋体" w:hAnsi="宋体"/>
        </w:rPr>
        <w:t>2. 缺项则该项为0分或不合格为0分。</w:t>
      </w:r>
    </w:p>
    <w:p>
      <w:pPr>
        <w:spacing w:line="0" w:lineRule="atLeast"/>
        <w:ind w:firstLine="821" w:firstLineChars="391"/>
        <w:rPr>
          <w:rFonts w:ascii="宋体" w:hAnsi="宋体"/>
        </w:rPr>
      </w:pPr>
      <w:r>
        <w:rPr>
          <w:rFonts w:hint="eastAsia" w:ascii="宋体" w:hAnsi="宋体"/>
        </w:rPr>
        <w:t>3. 价格、技术、商务部分为针对项目具体情况设置项目，累加满分为100分。</w:t>
      </w:r>
    </w:p>
    <w:p>
      <w:pPr>
        <w:spacing w:line="0" w:lineRule="atLeast"/>
        <w:ind w:right="105" w:firstLine="840" w:firstLineChars="400"/>
        <w:jc w:val="both"/>
        <w:rPr>
          <w:rFonts w:hint="eastAsia" w:ascii="Arial" w:hAnsi="Arial" w:cs="Arial"/>
          <w:snapToGrid w:val="0"/>
          <w:kern w:val="0"/>
          <w:szCs w:val="18"/>
        </w:rPr>
      </w:pPr>
      <w:r>
        <w:rPr>
          <w:rFonts w:hint="eastAsia" w:ascii="宋体" w:hAnsi="宋体"/>
        </w:rPr>
        <w:t>4. 综合以上</w:t>
      </w:r>
      <w:r>
        <w:rPr>
          <w:rFonts w:hint="eastAsia"/>
          <w:snapToGrid w:val="0"/>
          <w:kern w:val="0"/>
        </w:rPr>
        <w:t>分析比较，评委会将对各投标文件进行量化评定</w:t>
      </w:r>
      <w:r>
        <w:rPr>
          <w:rFonts w:hint="eastAsia" w:ascii="Arial" w:hAnsi="Arial" w:cs="Arial"/>
          <w:snapToGrid w:val="0"/>
          <w:kern w:val="0"/>
          <w:szCs w:val="18"/>
        </w:rPr>
        <w:t>。</w:t>
      </w:r>
    </w:p>
    <w:p>
      <w:pPr>
        <w:spacing w:line="0" w:lineRule="atLeast"/>
        <w:ind w:right="105"/>
        <w:jc w:val="both"/>
        <w:rPr>
          <w:rFonts w:hint="default" w:ascii="Arial" w:hAnsi="Arial" w:eastAsia="宋体" w:cs="Arial"/>
          <w:snapToGrid w:val="0"/>
          <w:kern w:val="0"/>
          <w:szCs w:val="18"/>
          <w:lang w:val="en-US" w:eastAsia="zh-CN"/>
        </w:rPr>
      </w:pPr>
    </w:p>
    <w:p>
      <w:pPr>
        <w:spacing w:line="0" w:lineRule="atLeast"/>
        <w:ind w:firstLine="821" w:firstLineChars="391"/>
        <w:jc w:val="righ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38F6A"/>
    <w:rsid w:val="74F38F6A"/>
    <w:rsid w:val="DD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2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2022-05-26T15:18:00Z</dcterms:created>
  <dc:creator>user</dc:creator>
  <cp:lastModifiedBy>user</cp:lastModifiedBy>
  <dcterms:modified xsi:type="dcterms:W3CDTF">2022-05-26T15:30:38Z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